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2C35" w14:textId="1F11992E" w:rsidR="6FDF5FC9" w:rsidRPr="00997062" w:rsidRDefault="426AC211" w:rsidP="0017223F">
      <w:pPr>
        <w:rPr>
          <w:rFonts w:ascii="Quicksand" w:hAnsi="Quicksand"/>
        </w:rPr>
      </w:pPr>
      <w:r w:rsidRPr="00997062">
        <w:rPr>
          <w:rFonts w:ascii="Quicksand" w:hAnsi="Quicksand"/>
        </w:rPr>
        <w:t xml:space="preserve"> </w:t>
      </w:r>
    </w:p>
    <w:p w14:paraId="78FA5734" w14:textId="77777777" w:rsidR="005976F9" w:rsidRDefault="00527811" w:rsidP="005976F9">
      <w:pPr>
        <w:jc w:val="center"/>
        <w:rPr>
          <w:rFonts w:ascii="Quicksand" w:hAnsi="Quicksand"/>
          <w:b/>
          <w:sz w:val="32"/>
          <w:szCs w:val="32"/>
        </w:rPr>
      </w:pPr>
      <w:r w:rsidRPr="003E4394">
        <w:rPr>
          <w:rFonts w:ascii="Quicksand" w:hAnsi="Quicksand"/>
          <w:b/>
          <w:sz w:val="32"/>
          <w:szCs w:val="32"/>
        </w:rPr>
        <w:t>Czy można zarobić na stacji ładowania?</w:t>
      </w:r>
    </w:p>
    <w:p w14:paraId="695141BF" w14:textId="7D5F6952" w:rsidR="22BF7F55" w:rsidRPr="005976F9" w:rsidRDefault="005976F9" w:rsidP="005976F9">
      <w:pPr>
        <w:pStyle w:val="Akapitzlist"/>
        <w:numPr>
          <w:ilvl w:val="0"/>
          <w:numId w:val="1"/>
        </w:numPr>
        <w:jc w:val="center"/>
        <w:rPr>
          <w:rFonts w:ascii="Quicksand" w:hAnsi="Quicksand"/>
          <w:b/>
          <w:sz w:val="28"/>
          <w:szCs w:val="28"/>
        </w:rPr>
      </w:pPr>
      <w:r w:rsidRPr="005976F9">
        <w:rPr>
          <w:rFonts w:ascii="Quicksand" w:hAnsi="Quicksand"/>
          <w:b/>
          <w:sz w:val="24"/>
        </w:rPr>
        <w:t>Badanie opinii przeprowadzone w styczniu 2022</w:t>
      </w:r>
      <w:r w:rsidR="003E4394" w:rsidRPr="005976F9">
        <w:rPr>
          <w:rFonts w:ascii="Quicksand" w:hAnsi="Quicksand"/>
          <w:b/>
          <w:sz w:val="28"/>
          <w:szCs w:val="28"/>
        </w:rPr>
        <w:br/>
      </w:r>
    </w:p>
    <w:p w14:paraId="35063B3B" w14:textId="443C157C" w:rsidR="002310D3" w:rsidRPr="00997062" w:rsidRDefault="005976F9" w:rsidP="004615BA">
      <w:pPr>
        <w:jc w:val="both"/>
        <w:rPr>
          <w:rFonts w:ascii="Quicksand" w:hAnsi="Quicksand"/>
        </w:rPr>
      </w:pPr>
      <w:r w:rsidRPr="005976F9">
        <w:rPr>
          <w:rFonts w:ascii="Quicksand" w:hAnsi="Quicksand"/>
          <w:b/>
          <w:bCs/>
        </w:rPr>
        <w:t>Warszawa, 4.02.2022 r.</w:t>
      </w:r>
      <w:r>
        <w:rPr>
          <w:rFonts w:ascii="Quicksand" w:hAnsi="Quicksand"/>
        </w:rPr>
        <w:t xml:space="preserve"> - </w:t>
      </w:r>
      <w:r w:rsidR="426AC211" w:rsidRPr="00997062">
        <w:rPr>
          <w:rFonts w:ascii="Quicksand" w:hAnsi="Quicksand"/>
        </w:rPr>
        <w:t xml:space="preserve">Ceny paliw </w:t>
      </w:r>
      <w:r w:rsidR="60CC8ED1" w:rsidRPr="00997062">
        <w:rPr>
          <w:rFonts w:ascii="Quicksand" w:hAnsi="Quicksand"/>
        </w:rPr>
        <w:t xml:space="preserve">w </w:t>
      </w:r>
      <w:r w:rsidR="008A159E" w:rsidRPr="00997062">
        <w:rPr>
          <w:rFonts w:ascii="Quicksand" w:hAnsi="Quicksand"/>
        </w:rPr>
        <w:t xml:space="preserve">sprzedaży </w:t>
      </w:r>
      <w:r w:rsidR="60CC8ED1" w:rsidRPr="00997062">
        <w:rPr>
          <w:rFonts w:ascii="Quicksand" w:hAnsi="Quicksand"/>
        </w:rPr>
        <w:t>hur</w:t>
      </w:r>
      <w:r w:rsidR="008A159E" w:rsidRPr="00997062">
        <w:rPr>
          <w:rFonts w:ascii="Quicksand" w:hAnsi="Quicksand"/>
        </w:rPr>
        <w:t>towej</w:t>
      </w:r>
      <w:r w:rsidR="60CC8ED1" w:rsidRPr="00997062">
        <w:rPr>
          <w:rFonts w:ascii="Quicksand" w:hAnsi="Quicksand"/>
        </w:rPr>
        <w:t xml:space="preserve"> i na stacjach </w:t>
      </w:r>
      <w:r w:rsidR="008A159E" w:rsidRPr="00997062">
        <w:rPr>
          <w:rFonts w:ascii="Quicksand" w:hAnsi="Quicksand"/>
        </w:rPr>
        <w:t xml:space="preserve">detalicznych </w:t>
      </w:r>
      <w:r w:rsidR="60CC8ED1" w:rsidRPr="00997062">
        <w:rPr>
          <w:rFonts w:ascii="Quicksand" w:hAnsi="Quicksand"/>
        </w:rPr>
        <w:t>potrafią fluktuować z tygodnia na tydzie</w:t>
      </w:r>
      <w:r w:rsidR="004B43C2" w:rsidRPr="00997062">
        <w:rPr>
          <w:rFonts w:ascii="Quicksand" w:hAnsi="Quicksand"/>
        </w:rPr>
        <w:t>ń</w:t>
      </w:r>
      <w:r w:rsidR="00AD345C" w:rsidRPr="00997062">
        <w:rPr>
          <w:rStyle w:val="Odwoanieprzypisudolnego"/>
          <w:rFonts w:ascii="Quicksand" w:hAnsi="Quicksand"/>
        </w:rPr>
        <w:footnoteReference w:id="2"/>
      </w:r>
      <w:r w:rsidR="1AC4FE02" w:rsidRPr="00997062">
        <w:rPr>
          <w:rFonts w:ascii="Quicksand" w:hAnsi="Quicksand"/>
        </w:rPr>
        <w:t>.</w:t>
      </w:r>
      <w:r w:rsidR="00D27B8D" w:rsidRPr="00997062">
        <w:rPr>
          <w:rFonts w:ascii="Quicksand" w:hAnsi="Quicksand"/>
        </w:rPr>
        <w:t xml:space="preserve"> </w:t>
      </w:r>
      <w:r w:rsidR="00273B22" w:rsidRPr="00997062">
        <w:rPr>
          <w:rFonts w:ascii="Quicksand" w:hAnsi="Quicksand"/>
        </w:rPr>
        <w:t xml:space="preserve">Dodatkowo wprowadzona akcyza na paliwa oraz inne podatki </w:t>
      </w:r>
      <w:r w:rsidR="002D1E91" w:rsidRPr="00997062">
        <w:rPr>
          <w:rFonts w:ascii="Quicksand" w:hAnsi="Quicksand"/>
        </w:rPr>
        <w:t>prowadzą do mniejszej pewności w prowadzeniu tego biznesu</w:t>
      </w:r>
      <w:r w:rsidR="426AC211" w:rsidRPr="00997062">
        <w:rPr>
          <w:rFonts w:ascii="Quicksand" w:hAnsi="Quicksand"/>
        </w:rPr>
        <w:t>.</w:t>
      </w:r>
      <w:r w:rsidR="00CB752F" w:rsidRPr="00997062">
        <w:rPr>
          <w:rFonts w:ascii="Quicksand" w:hAnsi="Quicksand"/>
        </w:rPr>
        <w:t xml:space="preserve"> </w:t>
      </w:r>
      <w:r w:rsidR="00B11F9B">
        <w:rPr>
          <w:rFonts w:ascii="Quicksand" w:hAnsi="Quicksand"/>
        </w:rPr>
        <w:t>Również</w:t>
      </w:r>
      <w:r w:rsidR="008A159E" w:rsidRPr="00997062">
        <w:rPr>
          <w:rFonts w:ascii="Quicksand" w:hAnsi="Quicksand"/>
        </w:rPr>
        <w:t xml:space="preserve"> bardzo trudno jest założyć stację paliw zarówno pod kątem przygotowania tej inwestycji, jak również z prawnego punktu widzenia. </w:t>
      </w:r>
      <w:r w:rsidR="00CB752F" w:rsidRPr="00997062">
        <w:rPr>
          <w:rFonts w:ascii="Quicksand" w:hAnsi="Quicksand"/>
        </w:rPr>
        <w:t>Jednocześnie</w:t>
      </w:r>
      <w:r w:rsidR="007A06F5" w:rsidRPr="00997062">
        <w:rPr>
          <w:rFonts w:ascii="Quicksand" w:hAnsi="Quicksand"/>
        </w:rPr>
        <w:t xml:space="preserve"> przybywa</w:t>
      </w:r>
      <w:r w:rsidR="00CB752F" w:rsidRPr="00997062">
        <w:rPr>
          <w:rFonts w:ascii="Quicksand" w:hAnsi="Quicksand"/>
        </w:rPr>
        <w:t xml:space="preserve"> aut elektrycznych </w:t>
      </w:r>
      <w:r w:rsidR="007A06F5" w:rsidRPr="00997062">
        <w:rPr>
          <w:rFonts w:ascii="Quicksand" w:hAnsi="Quicksand"/>
        </w:rPr>
        <w:t>poruszających się po naszych drogach</w:t>
      </w:r>
      <w:r w:rsidR="00CB752F" w:rsidRPr="00997062">
        <w:rPr>
          <w:rFonts w:ascii="Quicksand" w:hAnsi="Quicksand"/>
        </w:rPr>
        <w:t xml:space="preserve">. </w:t>
      </w:r>
      <w:r w:rsidR="007A06F5" w:rsidRPr="00997062">
        <w:rPr>
          <w:rFonts w:ascii="Quicksand" w:hAnsi="Quicksand"/>
        </w:rPr>
        <w:t xml:space="preserve">Oczywiście jeszcze </w:t>
      </w:r>
      <w:r w:rsidR="00F55D27" w:rsidRPr="00997062">
        <w:rPr>
          <w:rFonts w:ascii="Quicksand" w:hAnsi="Quicksand"/>
        </w:rPr>
        <w:t>d</w:t>
      </w:r>
      <w:r w:rsidR="00CB752F" w:rsidRPr="00997062">
        <w:rPr>
          <w:rFonts w:ascii="Quicksand" w:hAnsi="Quicksand"/>
        </w:rPr>
        <w:t>ługo</w:t>
      </w:r>
      <w:r w:rsidR="00F55D27" w:rsidRPr="00997062">
        <w:rPr>
          <w:rFonts w:ascii="Quicksand" w:hAnsi="Quicksand"/>
        </w:rPr>
        <w:t xml:space="preserve"> będziemy musieli </w:t>
      </w:r>
      <w:r w:rsidR="002310D3" w:rsidRPr="00997062">
        <w:rPr>
          <w:rFonts w:ascii="Quicksand" w:hAnsi="Quicksand"/>
        </w:rPr>
        <w:t>czekać,</w:t>
      </w:r>
      <w:r w:rsidR="00F55D27" w:rsidRPr="00997062">
        <w:rPr>
          <w:rFonts w:ascii="Quicksand" w:hAnsi="Quicksand"/>
        </w:rPr>
        <w:t xml:space="preserve"> aby</w:t>
      </w:r>
      <w:r w:rsidR="00CB752F" w:rsidRPr="00997062">
        <w:rPr>
          <w:rFonts w:ascii="Quicksand" w:hAnsi="Quicksand"/>
        </w:rPr>
        <w:t xml:space="preserve"> ich liczba </w:t>
      </w:r>
      <w:r w:rsidR="00F55D27" w:rsidRPr="00997062">
        <w:rPr>
          <w:rFonts w:ascii="Quicksand" w:hAnsi="Quicksand"/>
        </w:rPr>
        <w:t xml:space="preserve">przewyższyła liczbę </w:t>
      </w:r>
      <w:r w:rsidR="004F112F" w:rsidRPr="00997062">
        <w:rPr>
          <w:rFonts w:ascii="Quicksand" w:hAnsi="Quicksand"/>
        </w:rPr>
        <w:t>tych na paliwa konwencjonalne</w:t>
      </w:r>
      <w:r w:rsidR="008A159E" w:rsidRPr="00997062">
        <w:rPr>
          <w:rFonts w:ascii="Quicksand" w:hAnsi="Quicksand"/>
        </w:rPr>
        <w:t>, jednak trend jest wzrostowy</w:t>
      </w:r>
      <w:r w:rsidR="004F112F" w:rsidRPr="00997062">
        <w:rPr>
          <w:rFonts w:ascii="Quicksand" w:hAnsi="Quicksand"/>
        </w:rPr>
        <w:t>.</w:t>
      </w:r>
      <w:r w:rsidR="00CB752F" w:rsidRPr="00997062">
        <w:rPr>
          <w:rFonts w:ascii="Quicksand" w:hAnsi="Quicksand"/>
        </w:rPr>
        <w:t xml:space="preserve"> W związku z tym </w:t>
      </w:r>
      <w:r w:rsidR="004F112F" w:rsidRPr="00997062">
        <w:rPr>
          <w:rFonts w:ascii="Quicksand" w:hAnsi="Quicksand"/>
        </w:rPr>
        <w:t>coraz częściej pojawiają się pytania</w:t>
      </w:r>
      <w:r w:rsidR="00CB752F" w:rsidRPr="00997062">
        <w:rPr>
          <w:rFonts w:ascii="Quicksand" w:hAnsi="Quicksand"/>
        </w:rPr>
        <w:t xml:space="preserve">, czy na </w:t>
      </w:r>
      <w:r w:rsidR="00385AFA" w:rsidRPr="00997062">
        <w:rPr>
          <w:rFonts w:ascii="Quicksand" w:hAnsi="Quicksand"/>
        </w:rPr>
        <w:t xml:space="preserve">stacjach ładowania </w:t>
      </w:r>
      <w:r w:rsidR="008A159E" w:rsidRPr="00997062">
        <w:rPr>
          <w:rFonts w:ascii="Quicksand" w:hAnsi="Quicksand"/>
        </w:rPr>
        <w:t>samochodów elektrycznych</w:t>
      </w:r>
      <w:r w:rsidR="00CB752F" w:rsidRPr="00997062">
        <w:rPr>
          <w:rFonts w:ascii="Quicksand" w:hAnsi="Quicksand"/>
        </w:rPr>
        <w:t xml:space="preserve"> można zarobić, a jeśli tak to jak i </w:t>
      </w:r>
      <w:r w:rsidR="002310D3" w:rsidRPr="00997062">
        <w:rPr>
          <w:rFonts w:ascii="Quicksand" w:hAnsi="Quicksand"/>
        </w:rPr>
        <w:t>ile?</w:t>
      </w:r>
    </w:p>
    <w:p w14:paraId="19D690FE" w14:textId="6BEEB4B6" w:rsidR="1063E304" w:rsidRPr="00997062" w:rsidRDefault="008A159E" w:rsidP="004615BA">
      <w:pPr>
        <w:jc w:val="both"/>
        <w:rPr>
          <w:rFonts w:ascii="Quicksand" w:hAnsi="Quicksand"/>
        </w:rPr>
      </w:pPr>
      <w:r w:rsidRPr="00997062">
        <w:rPr>
          <w:rFonts w:ascii="Quicksand" w:hAnsi="Quicksand"/>
        </w:rPr>
        <w:t xml:space="preserve">To proste pytanie „Czy na stacjach ładowania da się zarobić?” w formie ankiety opublikowaliśmy </w:t>
      </w:r>
      <w:r w:rsidR="005976F9">
        <w:rPr>
          <w:rFonts w:ascii="Quicksand" w:hAnsi="Quicksand"/>
        </w:rPr>
        <w:br/>
      </w:r>
      <w:r w:rsidRPr="00997062">
        <w:rPr>
          <w:rFonts w:ascii="Quicksand" w:hAnsi="Quicksand"/>
        </w:rPr>
        <w:t>w ostatnim tygodniu stycznia 2022 na łamach firmowego profilu w mediach społecznościowych</w:t>
      </w:r>
      <w:r w:rsidR="009A13DE" w:rsidRPr="00997062">
        <w:rPr>
          <w:rFonts w:ascii="Quicksand" w:hAnsi="Quicksand"/>
        </w:rPr>
        <w:t xml:space="preserve">. Wśród ankietowanych, 74% odpowiedziało, że </w:t>
      </w:r>
      <w:r w:rsidRPr="00997062">
        <w:rPr>
          <w:rFonts w:ascii="Quicksand" w:hAnsi="Quicksand"/>
        </w:rPr>
        <w:t>„</w:t>
      </w:r>
      <w:r w:rsidR="009A13DE" w:rsidRPr="00997062">
        <w:rPr>
          <w:rFonts w:ascii="Quicksand" w:hAnsi="Quicksand"/>
        </w:rPr>
        <w:t>tak</w:t>
      </w:r>
      <w:r w:rsidRPr="00997062">
        <w:rPr>
          <w:rFonts w:ascii="Quicksand" w:hAnsi="Quicksand"/>
        </w:rPr>
        <w:t>”</w:t>
      </w:r>
      <w:r w:rsidR="009A13DE" w:rsidRPr="00997062">
        <w:rPr>
          <w:rFonts w:ascii="Quicksand" w:hAnsi="Quicksand"/>
        </w:rPr>
        <w:t xml:space="preserve">, taki zarobek jest możliwy. </w:t>
      </w:r>
      <w:r w:rsidR="00896884" w:rsidRPr="00997062">
        <w:rPr>
          <w:rFonts w:ascii="Quicksand" w:hAnsi="Quicksand"/>
        </w:rPr>
        <w:t>A</w:t>
      </w:r>
      <w:r w:rsidR="00D0741E" w:rsidRPr="00997062">
        <w:rPr>
          <w:rFonts w:ascii="Quicksand" w:hAnsi="Quicksand"/>
        </w:rPr>
        <w:t>le</w:t>
      </w:r>
      <w:r w:rsidR="00BC21F4" w:rsidRPr="00997062">
        <w:rPr>
          <w:rFonts w:ascii="Quicksand" w:hAnsi="Quicksand"/>
        </w:rPr>
        <w:t xml:space="preserve"> bez mała 1/3 ankietowanych (</w:t>
      </w:r>
      <w:r w:rsidR="00896884" w:rsidRPr="00997062">
        <w:rPr>
          <w:rFonts w:ascii="Quicksand" w:hAnsi="Quicksand"/>
        </w:rPr>
        <w:t>26%</w:t>
      </w:r>
      <w:r w:rsidR="00BC21F4" w:rsidRPr="00997062">
        <w:rPr>
          <w:rFonts w:ascii="Quicksand" w:hAnsi="Quicksand"/>
        </w:rPr>
        <w:t>)</w:t>
      </w:r>
      <w:r w:rsidR="00896884" w:rsidRPr="00997062">
        <w:rPr>
          <w:rFonts w:ascii="Quicksand" w:hAnsi="Quicksand"/>
        </w:rPr>
        <w:t xml:space="preserve"> stwierdziło, że </w:t>
      </w:r>
      <w:r w:rsidRPr="00997062">
        <w:rPr>
          <w:rFonts w:ascii="Quicksand" w:hAnsi="Quicksand"/>
        </w:rPr>
        <w:t>„</w:t>
      </w:r>
      <w:r w:rsidR="00896884" w:rsidRPr="00997062">
        <w:rPr>
          <w:rFonts w:ascii="Quicksand" w:hAnsi="Quicksand"/>
        </w:rPr>
        <w:t>nie wie</w:t>
      </w:r>
      <w:r w:rsidRPr="00997062">
        <w:rPr>
          <w:rFonts w:ascii="Quicksand" w:hAnsi="Quicksand"/>
        </w:rPr>
        <w:t>”</w:t>
      </w:r>
      <w:r w:rsidR="00896884" w:rsidRPr="00997062">
        <w:rPr>
          <w:rFonts w:ascii="Quicksand" w:hAnsi="Quicksand"/>
        </w:rPr>
        <w:t xml:space="preserve">, lub </w:t>
      </w:r>
      <w:r w:rsidRPr="00997062">
        <w:rPr>
          <w:rFonts w:ascii="Quicksand" w:hAnsi="Quicksand"/>
        </w:rPr>
        <w:t>„</w:t>
      </w:r>
      <w:r w:rsidR="00896884" w:rsidRPr="00997062">
        <w:rPr>
          <w:rFonts w:ascii="Quicksand" w:hAnsi="Quicksand"/>
        </w:rPr>
        <w:t>nie</w:t>
      </w:r>
      <w:r w:rsidRPr="00997062">
        <w:rPr>
          <w:rFonts w:ascii="Quicksand" w:hAnsi="Quicksand"/>
        </w:rPr>
        <w:t>”</w:t>
      </w:r>
      <w:r w:rsidR="00896884" w:rsidRPr="00997062">
        <w:rPr>
          <w:rFonts w:ascii="Quicksand" w:hAnsi="Quicksand"/>
        </w:rPr>
        <w:t xml:space="preserve"> można zarabiać na stacjach ładowania pojazdów</w:t>
      </w:r>
      <w:r w:rsidR="00654AEE" w:rsidRPr="00997062">
        <w:rPr>
          <w:rFonts w:ascii="Quicksand" w:hAnsi="Quicksand"/>
        </w:rPr>
        <w:t>.</w:t>
      </w:r>
      <w:r w:rsidR="00076B94" w:rsidRPr="00997062">
        <w:rPr>
          <w:rFonts w:ascii="Quicksand" w:hAnsi="Quicksand"/>
        </w:rPr>
        <w:t xml:space="preserve"> </w:t>
      </w:r>
    </w:p>
    <w:p w14:paraId="6595FD87" w14:textId="39374E51" w:rsidR="7F05E04D" w:rsidRPr="00997062" w:rsidRDefault="7F05E04D" w:rsidP="004615BA">
      <w:pPr>
        <w:jc w:val="center"/>
        <w:rPr>
          <w:rFonts w:ascii="Quicksand" w:hAnsi="Quicksand"/>
        </w:rPr>
      </w:pPr>
      <w:r w:rsidRPr="00997062">
        <w:rPr>
          <w:rFonts w:ascii="Quicksand" w:hAnsi="Quicksand"/>
          <w:noProof/>
        </w:rPr>
        <w:drawing>
          <wp:inline distT="0" distB="0" distL="0" distR="0" wp14:anchorId="0B23DB6D" wp14:editId="145F4271">
            <wp:extent cx="5326174" cy="2785145"/>
            <wp:effectExtent l="0" t="0" r="0" b="0"/>
            <wp:docPr id="855700229" name="Obraz 8557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1676" cy="2793251"/>
                    </a:xfrm>
                    <a:prstGeom prst="rect">
                      <a:avLst/>
                    </a:prstGeom>
                  </pic:spPr>
                </pic:pic>
              </a:graphicData>
            </a:graphic>
          </wp:inline>
        </w:drawing>
      </w:r>
      <w:r w:rsidR="004270A6">
        <w:rPr>
          <w:rFonts w:ascii="Quicksand" w:hAnsi="Quicksand"/>
        </w:rPr>
        <w:br/>
      </w:r>
      <w:r w:rsidR="004270A6" w:rsidRPr="00997062">
        <w:rPr>
          <w:rFonts w:ascii="Quicksand" w:hAnsi="Quicksand"/>
          <w:i/>
          <w:iCs/>
          <w:sz w:val="15"/>
          <w:szCs w:val="15"/>
        </w:rPr>
        <w:t xml:space="preserve">Wykres: </w:t>
      </w:r>
      <w:r w:rsidR="004270A6">
        <w:rPr>
          <w:rFonts w:ascii="Quicksand" w:hAnsi="Quicksand"/>
          <w:i/>
          <w:iCs/>
          <w:sz w:val="15"/>
          <w:szCs w:val="15"/>
        </w:rPr>
        <w:t>badanie opinii,</w:t>
      </w:r>
      <w:r w:rsidR="004270A6" w:rsidRPr="00997062">
        <w:rPr>
          <w:rFonts w:ascii="Quicksand" w:hAnsi="Quicksand"/>
          <w:i/>
          <w:iCs/>
          <w:sz w:val="15"/>
          <w:szCs w:val="15"/>
        </w:rPr>
        <w:t xml:space="preserve"> Elocity</w:t>
      </w:r>
      <w:r w:rsidR="004270A6">
        <w:rPr>
          <w:rFonts w:ascii="Quicksand" w:hAnsi="Quicksand"/>
          <w:i/>
          <w:iCs/>
          <w:sz w:val="15"/>
          <w:szCs w:val="15"/>
        </w:rPr>
        <w:t>, styczeń 2022</w:t>
      </w:r>
    </w:p>
    <w:p w14:paraId="59EF6389" w14:textId="542D6BEF" w:rsidR="00076B94" w:rsidRPr="00997062" w:rsidRDefault="008A159E" w:rsidP="004615BA">
      <w:pPr>
        <w:jc w:val="both"/>
        <w:rPr>
          <w:rFonts w:ascii="Quicksand" w:hAnsi="Quicksand"/>
        </w:rPr>
      </w:pPr>
      <w:r w:rsidRPr="00997062">
        <w:rPr>
          <w:rFonts w:ascii="Quicksand" w:hAnsi="Quicksand"/>
        </w:rPr>
        <w:t>A jak jest naprawdę?</w:t>
      </w:r>
    </w:p>
    <w:p w14:paraId="2E9DC1C6" w14:textId="45AF2100" w:rsidR="008034BA" w:rsidRPr="00997062" w:rsidRDefault="008A159E" w:rsidP="004615BA">
      <w:pPr>
        <w:jc w:val="both"/>
        <w:rPr>
          <w:rFonts w:ascii="Quicksand" w:hAnsi="Quicksand"/>
        </w:rPr>
      </w:pPr>
      <w:r w:rsidRPr="00997062">
        <w:rPr>
          <w:rFonts w:ascii="Quicksand" w:hAnsi="Quicksand"/>
        </w:rPr>
        <w:t>Jedyna</w:t>
      </w:r>
      <w:r w:rsidR="00B91A7C" w:rsidRPr="00997062">
        <w:rPr>
          <w:rFonts w:ascii="Quicksand" w:hAnsi="Quicksand"/>
        </w:rPr>
        <w:t xml:space="preserve"> właściwa odpowiedź</w:t>
      </w:r>
      <w:r w:rsidR="003E7EC6" w:rsidRPr="00997062">
        <w:rPr>
          <w:rFonts w:ascii="Quicksand" w:hAnsi="Quicksand"/>
        </w:rPr>
        <w:t xml:space="preserve"> na pytanie z naszej ankiety to</w:t>
      </w:r>
      <w:r w:rsidR="00B91A7C" w:rsidRPr="00997062">
        <w:rPr>
          <w:rFonts w:ascii="Quicksand" w:hAnsi="Quicksand"/>
        </w:rPr>
        <w:t xml:space="preserve">: </w:t>
      </w:r>
      <w:r w:rsidR="003E7EC6" w:rsidRPr="00997062">
        <w:rPr>
          <w:rFonts w:ascii="Quicksand" w:hAnsi="Quicksand"/>
        </w:rPr>
        <w:t>„</w:t>
      </w:r>
      <w:r w:rsidR="00B91A7C" w:rsidRPr="00997062">
        <w:rPr>
          <w:rFonts w:ascii="Quicksand" w:hAnsi="Quicksand"/>
        </w:rPr>
        <w:t>Tak</w:t>
      </w:r>
      <w:r w:rsidR="003E7EC6" w:rsidRPr="00997062">
        <w:rPr>
          <w:rFonts w:ascii="Quicksand" w:hAnsi="Quicksand"/>
        </w:rPr>
        <w:t>”</w:t>
      </w:r>
      <w:r w:rsidR="00B91A7C" w:rsidRPr="00997062">
        <w:rPr>
          <w:rFonts w:ascii="Quicksand" w:hAnsi="Quicksand"/>
        </w:rPr>
        <w:t>, zarabianie na stacjach ładowania samochodów elektrycznych jest możliwe</w:t>
      </w:r>
      <w:r w:rsidR="003E7EC6" w:rsidRPr="00997062">
        <w:rPr>
          <w:rFonts w:ascii="Quicksand" w:hAnsi="Quicksand"/>
        </w:rPr>
        <w:t xml:space="preserve"> i bardzo dochodowe</w:t>
      </w:r>
      <w:r w:rsidR="00361056" w:rsidRPr="00997062">
        <w:rPr>
          <w:rFonts w:ascii="Quicksand" w:hAnsi="Quicksand"/>
        </w:rPr>
        <w:t xml:space="preserve">. </w:t>
      </w:r>
    </w:p>
    <w:p w14:paraId="44C1E044" w14:textId="3F978F92" w:rsidR="00361056" w:rsidRPr="00997062" w:rsidRDefault="00361056" w:rsidP="004615BA">
      <w:pPr>
        <w:jc w:val="both"/>
        <w:rPr>
          <w:rFonts w:ascii="Quicksand" w:hAnsi="Quicksand"/>
        </w:rPr>
      </w:pPr>
      <w:r w:rsidRPr="00997062">
        <w:rPr>
          <w:rFonts w:ascii="Quicksand" w:hAnsi="Quicksand"/>
        </w:rPr>
        <w:lastRenderedPageBreak/>
        <w:t xml:space="preserve">Wystarczy spojrzeć na dane za rok 2021, przedstawiające przychód właścicieli stacji korzystających </w:t>
      </w:r>
      <w:r w:rsidR="005976F9">
        <w:rPr>
          <w:rFonts w:ascii="Quicksand" w:hAnsi="Quicksand"/>
        </w:rPr>
        <w:br/>
      </w:r>
      <w:r w:rsidRPr="00997062">
        <w:rPr>
          <w:rFonts w:ascii="Quicksand" w:hAnsi="Quicksand"/>
        </w:rPr>
        <w:t xml:space="preserve">z systemu Elocity: </w:t>
      </w:r>
    </w:p>
    <w:p w14:paraId="216C1119" w14:textId="01F8CA35" w:rsidR="00A559B1" w:rsidRPr="00997062" w:rsidRDefault="00A559B1" w:rsidP="004615BA">
      <w:pPr>
        <w:jc w:val="center"/>
        <w:rPr>
          <w:rFonts w:ascii="Quicksand" w:hAnsi="Quicksand"/>
          <w:i/>
          <w:iCs/>
          <w:sz w:val="15"/>
          <w:szCs w:val="15"/>
        </w:rPr>
      </w:pPr>
      <w:r w:rsidRPr="00997062">
        <w:rPr>
          <w:rFonts w:ascii="Quicksand" w:hAnsi="Quicksand"/>
          <w:noProof/>
        </w:rPr>
        <w:drawing>
          <wp:inline distT="0" distB="0" distL="0" distR="0" wp14:anchorId="3BE9B9E2" wp14:editId="64B2D579">
            <wp:extent cx="5731510" cy="3181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1">
                      <a:extLst>
                        <a:ext uri="{28A0092B-C50C-407E-A947-70E740481C1C}">
                          <a14:useLocalDpi xmlns:a14="http://schemas.microsoft.com/office/drawing/2010/main" val="0"/>
                        </a:ext>
                      </a:extLst>
                    </a:blip>
                    <a:stretch>
                      <a:fillRect/>
                    </a:stretch>
                  </pic:blipFill>
                  <pic:spPr>
                    <a:xfrm>
                      <a:off x="0" y="0"/>
                      <a:ext cx="5731510" cy="3181350"/>
                    </a:xfrm>
                    <a:prstGeom prst="rect">
                      <a:avLst/>
                    </a:prstGeom>
                  </pic:spPr>
                </pic:pic>
              </a:graphicData>
            </a:graphic>
          </wp:inline>
        </w:drawing>
      </w:r>
      <w:r w:rsidR="0AC00018" w:rsidRPr="00997062">
        <w:rPr>
          <w:rFonts w:ascii="Quicksand" w:hAnsi="Quicksand"/>
          <w:i/>
          <w:iCs/>
          <w:sz w:val="15"/>
          <w:szCs w:val="15"/>
        </w:rPr>
        <w:t>Wykres: dane z platformy Elocity</w:t>
      </w:r>
    </w:p>
    <w:p w14:paraId="614561F2" w14:textId="23CEA0EC" w:rsidR="001315DB" w:rsidRPr="00997062" w:rsidRDefault="426AC211" w:rsidP="004615BA">
      <w:pPr>
        <w:jc w:val="both"/>
        <w:rPr>
          <w:rFonts w:ascii="Quicksand" w:eastAsia="Quicksand" w:hAnsi="Quicksand" w:cs="Quicksand"/>
          <w:sz w:val="24"/>
          <w:szCs w:val="24"/>
        </w:rPr>
      </w:pPr>
      <w:r w:rsidRPr="00997062">
        <w:rPr>
          <w:rFonts w:ascii="Quicksand" w:hAnsi="Quicksand"/>
        </w:rPr>
        <w:t>Dane mówią wprost, że z miesiąca na miesiąc trend jest wzrostowy. W porównaniu ze styczniem 2021,</w:t>
      </w:r>
      <w:r w:rsidRPr="00997062">
        <w:rPr>
          <w:rFonts w:ascii="Quicksand" w:eastAsia="Quicksand" w:hAnsi="Quicksand" w:cs="Quicksand"/>
          <w:sz w:val="24"/>
          <w:szCs w:val="24"/>
        </w:rPr>
        <w:t xml:space="preserve"> </w:t>
      </w:r>
      <w:r w:rsidRPr="00997062">
        <w:rPr>
          <w:rFonts w:ascii="Quicksand" w:eastAsia="Quicksand" w:hAnsi="Quicksand" w:cs="Quicksand"/>
          <w:color w:val="333333"/>
        </w:rPr>
        <w:t>w grudniu 2021 odnotowano prawie dziesięciokrotny wzrost przychodów w porównania do stycznia 2021</w:t>
      </w:r>
      <w:r w:rsidRPr="00997062">
        <w:rPr>
          <w:rFonts w:ascii="Quicksand" w:eastAsia="Quicksand" w:hAnsi="Quicksand" w:cs="Quicksand"/>
        </w:rPr>
        <w:t xml:space="preserve">. </w:t>
      </w:r>
    </w:p>
    <w:p w14:paraId="7927637D" w14:textId="35F10077" w:rsidR="006D0C6E" w:rsidRPr="00997062" w:rsidRDefault="24188EE3" w:rsidP="004615BA">
      <w:pPr>
        <w:jc w:val="both"/>
        <w:rPr>
          <w:rFonts w:ascii="Quicksand" w:hAnsi="Quicksand"/>
        </w:rPr>
      </w:pPr>
      <w:r w:rsidRPr="00997062">
        <w:rPr>
          <w:rFonts w:ascii="Quicksand" w:hAnsi="Quicksand"/>
        </w:rPr>
        <w:t xml:space="preserve">W następnych latach, począwszy od 2022, rynek usług ładowania będzie się zwiększał z ogromną dynamiką. Jednym z wielu czynników wpływających na tę dynamikę, zaraz obok zmiany stylu życia, jest większa oferta modeli elektrycznych oraz takie regulacje jak pakiet „Fit for 55”. Jest to pakiet unijnych aktów prawnych, które mają na celu zmniejszenia emisji gazów cieplarnianych </w:t>
      </w:r>
      <w:r w:rsidR="005976F9">
        <w:rPr>
          <w:rFonts w:ascii="Quicksand" w:hAnsi="Quicksand"/>
        </w:rPr>
        <w:br/>
      </w:r>
      <w:r w:rsidRPr="00997062">
        <w:rPr>
          <w:rFonts w:ascii="Quicksand" w:hAnsi="Quicksand"/>
        </w:rPr>
        <w:t>o 55% względem roku 1990. Ma on być zrealizowany do 2030. Fit for 55 odnosi się do okresu przejściowego, prowadzącego docelowo do neutralności klimatycznej w 2050 roku w całej UE.</w:t>
      </w:r>
    </w:p>
    <w:p w14:paraId="45D0873C" w14:textId="48A4E2AF" w:rsidR="00791D16" w:rsidRPr="00997062" w:rsidRDefault="426AC211" w:rsidP="004615BA">
      <w:pPr>
        <w:jc w:val="both"/>
        <w:rPr>
          <w:rFonts w:ascii="Quicksand" w:hAnsi="Quicksand"/>
        </w:rPr>
      </w:pPr>
      <w:r w:rsidRPr="00997062">
        <w:rPr>
          <w:rFonts w:ascii="Quicksand" w:hAnsi="Quicksand"/>
        </w:rPr>
        <w:t xml:space="preserve">Zgodnie z założeniami pakietu, do 2035 ma zostać wprowadzony zakaz sprzedaży samochodów spalinowych, natomiast do 2025 roku ma powstać minimum 1 stacja ładowania o mocy nie mniejszej niż 300 kW na każde 60 km autostrad w Unii Europejskiej. </w:t>
      </w:r>
    </w:p>
    <w:p w14:paraId="106CC4DA" w14:textId="79AB96CA" w:rsidR="00791D16" w:rsidRPr="00997062" w:rsidRDefault="426AC211" w:rsidP="004615BA">
      <w:pPr>
        <w:jc w:val="both"/>
        <w:rPr>
          <w:rFonts w:ascii="Quicksand" w:eastAsia="Calibri" w:hAnsi="Quicksand" w:cs="Calibri"/>
        </w:rPr>
      </w:pPr>
      <w:r w:rsidRPr="00997062">
        <w:rPr>
          <w:rFonts w:ascii="Quicksand" w:eastAsia="Calibri" w:hAnsi="Quicksand" w:cs="Calibri"/>
        </w:rPr>
        <w:t xml:space="preserve">Prognozowany dynamiczny wzrost liczby pojazdów elektrycznych w najbliższych latach, stworzy konieczność szybkiego rozwoju infrastruktury ładowania. Według szacunków publikowanych przez PSPA, w 2025 r. po polskich drogach będzie jeździć ponad pół miliona pojazdów elektrycznych (BEV </w:t>
      </w:r>
      <w:r w:rsidR="005976F9">
        <w:rPr>
          <w:rFonts w:ascii="Quicksand" w:eastAsia="Calibri" w:hAnsi="Quicksand" w:cs="Calibri"/>
        </w:rPr>
        <w:br/>
      </w:r>
      <w:r w:rsidRPr="00997062">
        <w:rPr>
          <w:rFonts w:ascii="Quicksand" w:eastAsia="Calibri" w:hAnsi="Quicksand" w:cs="Calibri"/>
        </w:rPr>
        <w:t xml:space="preserve">i PHEV), a liczba ogólnodostępnych punktów ładowania konieczna do obsługi takiej liczby pojazdów wyniesie ponad 40 tysięcy. Na koniec grudnia 2021 r. w Polsce funkcjonowały 1932 ogólnodostępne stacje ładowania </w:t>
      </w:r>
      <w:r w:rsidR="00F523F0" w:rsidRPr="00997062">
        <w:rPr>
          <w:rFonts w:ascii="Quicksand" w:eastAsia="Calibri" w:hAnsi="Quicksand" w:cs="Calibri"/>
        </w:rPr>
        <w:t>- 3784</w:t>
      </w:r>
      <w:r w:rsidRPr="00997062">
        <w:rPr>
          <w:rFonts w:ascii="Quicksand" w:eastAsia="Calibri" w:hAnsi="Quicksand" w:cs="Calibri"/>
        </w:rPr>
        <w:t xml:space="preserve"> punkty. Potencjał wzrostowy na rynku infrastruktury ładowania samochodów elektrycznych jest więc ogromny i dlatego już dziś widoczne jest duże zainteresowanie potencjalnych inwestorów tym rynkiem.</w:t>
      </w:r>
    </w:p>
    <w:p w14:paraId="0A502CD5" w14:textId="479AA800" w:rsidR="00791D16" w:rsidRPr="00997062" w:rsidRDefault="426AC211" w:rsidP="004615BA">
      <w:pPr>
        <w:spacing w:line="257" w:lineRule="auto"/>
        <w:jc w:val="both"/>
        <w:rPr>
          <w:rFonts w:ascii="Quicksand" w:eastAsia="Calibri" w:hAnsi="Quicksand" w:cs="Calibri"/>
        </w:rPr>
      </w:pPr>
      <w:r w:rsidRPr="00997062">
        <w:rPr>
          <w:rFonts w:ascii="Quicksand" w:eastAsia="Calibri" w:hAnsi="Quicksand" w:cs="Calibri"/>
        </w:rPr>
        <w:lastRenderedPageBreak/>
        <w:t>Czy inwestycje w infrastrukturę ładowania są opłacalne? Zdecydowanie tak, natomiast wpływ na rentowność takiej inwestycji ma szereg czynników, spośród których szczególnie istotna jest lokalizacja i typ stacji. Wybór lokalizacji decyduje o nakładach związanych z inwestycją oraz wpływa na liczbę sesji, czyli czas ładowania pojazdów na danej stacji. Zwrot ze stacji typu AC i DC jest z kolei istotnie różny ze względu na proporcję cen sprzedaży usług ładowania na tych stacjach i cen zakupu energii elektrycznej. Rentowność stacji ładowania zmienia się także w czasie – rośnie wraz ze wzrostem rynku samochodów elektrycznych, co powoduje, że na ładowaniu samochodów elektrycznych będzie można zarobić coraz więcej.</w:t>
      </w:r>
    </w:p>
    <w:p w14:paraId="65B69AD7" w14:textId="77777777" w:rsidR="00F523F0" w:rsidRDefault="426AC211" w:rsidP="004615BA">
      <w:pPr>
        <w:spacing w:line="257" w:lineRule="auto"/>
        <w:jc w:val="both"/>
        <w:rPr>
          <w:rFonts w:ascii="Quicksand" w:eastAsia="Calibri" w:hAnsi="Quicksand" w:cs="Calibri"/>
        </w:rPr>
      </w:pPr>
      <w:r w:rsidRPr="00997062">
        <w:rPr>
          <w:rFonts w:ascii="Quicksand" w:eastAsia="Calibri" w:hAnsi="Quicksand" w:cs="Calibri"/>
        </w:rPr>
        <w:t>Elocity w ramach świadczonych usług wspiera swoich klientów w opracowywaniu modeli rentowności sieci stacji ładowania oraz pomaga w zaplanowaniu optymalnej struktury sieci.</w:t>
      </w:r>
    </w:p>
    <w:p w14:paraId="3DF75B97" w14:textId="295F28A9" w:rsidR="00B20457" w:rsidRPr="00F523F0" w:rsidRDefault="426AC211" w:rsidP="004615BA">
      <w:pPr>
        <w:spacing w:line="257" w:lineRule="auto"/>
        <w:jc w:val="both"/>
        <w:rPr>
          <w:rFonts w:ascii="Quicksand" w:eastAsia="Calibri" w:hAnsi="Quicksand" w:cs="Calibri"/>
        </w:rPr>
      </w:pPr>
      <w:r w:rsidRPr="00997062">
        <w:rPr>
          <w:rFonts w:ascii="Quicksand" w:hAnsi="Quicksand"/>
        </w:rPr>
        <w:t xml:space="preserve">Zatem czy można zarabiać na stacjach ładowania? Tak, można! </w:t>
      </w:r>
    </w:p>
    <w:p w14:paraId="4F384CAD" w14:textId="77777777" w:rsidR="00B20457" w:rsidRPr="00997062" w:rsidRDefault="00DC4B74" w:rsidP="004615BA">
      <w:pPr>
        <w:jc w:val="both"/>
        <w:rPr>
          <w:rFonts w:ascii="Quicksand" w:hAnsi="Quicksand"/>
        </w:rPr>
      </w:pPr>
      <w:r w:rsidRPr="00997062">
        <w:rPr>
          <w:rFonts w:ascii="Quicksand" w:hAnsi="Quicksand"/>
        </w:rPr>
        <w:t>Czy warto? Niezaprzeczalnie tak</w:t>
      </w:r>
      <w:r w:rsidR="00C272AF" w:rsidRPr="00997062">
        <w:rPr>
          <w:rFonts w:ascii="Quicksand" w:hAnsi="Quicksand"/>
        </w:rPr>
        <w:t xml:space="preserve">, przede wszystkim </w:t>
      </w:r>
      <w:r w:rsidR="00F428A8" w:rsidRPr="00997062">
        <w:rPr>
          <w:rFonts w:ascii="Quicksand" w:hAnsi="Quicksand"/>
        </w:rPr>
        <w:t>patrząc na prognozy zysków w najbliższych latach – jest to bardzo dobra inwestycja.</w:t>
      </w:r>
    </w:p>
    <w:p w14:paraId="0B252D5F" w14:textId="25789626" w:rsidR="00025EE9" w:rsidRDefault="00B20457" w:rsidP="004615BA">
      <w:pPr>
        <w:jc w:val="both"/>
        <w:rPr>
          <w:rFonts w:ascii="Quicksand" w:hAnsi="Quicksand"/>
        </w:rPr>
      </w:pPr>
      <w:r w:rsidRPr="00997062">
        <w:rPr>
          <w:rFonts w:ascii="Quicksand" w:hAnsi="Quicksand"/>
        </w:rPr>
        <w:t xml:space="preserve">Zapraszamy do kontaktu wszystkie zainteresowane </w:t>
      </w:r>
      <w:r w:rsidR="003E7EC6" w:rsidRPr="00997062">
        <w:rPr>
          <w:rFonts w:ascii="Quicksand" w:hAnsi="Quicksand"/>
        </w:rPr>
        <w:t xml:space="preserve">osoby oraz </w:t>
      </w:r>
      <w:r w:rsidRPr="00997062">
        <w:rPr>
          <w:rFonts w:ascii="Quicksand" w:hAnsi="Quicksand"/>
        </w:rPr>
        <w:t>podmioty</w:t>
      </w:r>
      <w:r w:rsidR="003E7EC6" w:rsidRPr="00997062">
        <w:rPr>
          <w:rFonts w:ascii="Quicksand" w:hAnsi="Quicksand"/>
        </w:rPr>
        <w:t xml:space="preserve"> gospodarcze</w:t>
      </w:r>
      <w:r w:rsidR="00402EDD">
        <w:rPr>
          <w:rFonts w:ascii="Quicksand" w:hAnsi="Quicksand"/>
        </w:rPr>
        <w:t xml:space="preserve"> </w:t>
      </w:r>
      <w:hyperlink r:id="rId12" w:history="1">
        <w:r w:rsidR="00402EDD" w:rsidRPr="002D751E">
          <w:rPr>
            <w:rStyle w:val="Hipercze"/>
            <w:rFonts w:ascii="Quicksand" w:hAnsi="Quicksand"/>
          </w:rPr>
          <w:t>https://elo.city/</w:t>
        </w:r>
      </w:hyperlink>
      <w:r w:rsidR="00402EDD">
        <w:rPr>
          <w:rFonts w:ascii="Quicksand" w:hAnsi="Quicksand"/>
        </w:rPr>
        <w:t>.</w:t>
      </w:r>
    </w:p>
    <w:p w14:paraId="643896F2" w14:textId="77777777" w:rsidR="00402EDD" w:rsidRPr="00997062" w:rsidRDefault="00402EDD" w:rsidP="004615BA">
      <w:pPr>
        <w:jc w:val="both"/>
        <w:rPr>
          <w:rFonts w:ascii="Quicksand" w:hAnsi="Quicksand"/>
        </w:rPr>
      </w:pPr>
    </w:p>
    <w:p w14:paraId="0982BEC7" w14:textId="77777777" w:rsidR="00774D11" w:rsidRPr="005976F9" w:rsidRDefault="00774D11" w:rsidP="00774D11">
      <w:pPr>
        <w:spacing w:after="0" w:line="240" w:lineRule="auto"/>
        <w:textAlignment w:val="baseline"/>
        <w:rPr>
          <w:rFonts w:ascii="Segoe UI" w:eastAsia="Times New Roman" w:hAnsi="Segoe UI" w:cs="Segoe UI"/>
          <w:b/>
          <w:bCs/>
          <w:color w:val="1F3763"/>
          <w:sz w:val="18"/>
          <w:szCs w:val="18"/>
        </w:rPr>
      </w:pPr>
      <w:r w:rsidRPr="005976F9">
        <w:rPr>
          <w:rFonts w:ascii="Quicksand" w:eastAsia="Times New Roman" w:hAnsi="Quicksand" w:cs="Segoe UI"/>
          <w:b/>
          <w:bCs/>
          <w:color w:val="171717"/>
          <w:sz w:val="18"/>
          <w:szCs w:val="18"/>
        </w:rPr>
        <w:t>O Elocity </w:t>
      </w:r>
    </w:p>
    <w:p w14:paraId="77DD87A5" w14:textId="12A9589B" w:rsidR="00774D11" w:rsidRPr="005976F9" w:rsidRDefault="00774D11" w:rsidP="003E4394">
      <w:pPr>
        <w:spacing w:after="0" w:line="240" w:lineRule="auto"/>
        <w:jc w:val="both"/>
        <w:textAlignment w:val="baseline"/>
        <w:rPr>
          <w:rFonts w:ascii="Segoe UI" w:eastAsia="Times New Roman" w:hAnsi="Segoe UI" w:cs="Segoe UI"/>
          <w:sz w:val="18"/>
          <w:szCs w:val="18"/>
        </w:rPr>
      </w:pPr>
      <w:r w:rsidRPr="005976F9">
        <w:rPr>
          <w:rFonts w:ascii="Quicksand" w:eastAsia="Times New Roman" w:hAnsi="Quicksand" w:cs="Segoe UI"/>
          <w:color w:val="171717"/>
          <w:sz w:val="18"/>
          <w:szCs w:val="18"/>
        </w:rPr>
        <w:t xml:space="preserve">Elocity to polska spółka technologiczna, typu EMP – </w:t>
      </w:r>
      <w:proofErr w:type="spellStart"/>
      <w:r w:rsidRPr="005976F9">
        <w:rPr>
          <w:rFonts w:ascii="Quicksand" w:eastAsia="Times New Roman" w:hAnsi="Quicksand" w:cs="Segoe UI"/>
          <w:color w:val="171717"/>
          <w:sz w:val="18"/>
          <w:szCs w:val="18"/>
        </w:rPr>
        <w:t>electromobility</w:t>
      </w:r>
      <w:proofErr w:type="spellEnd"/>
      <w:r w:rsidRPr="005976F9">
        <w:rPr>
          <w:rFonts w:ascii="Quicksand" w:eastAsia="Times New Roman" w:hAnsi="Quicksand" w:cs="Segoe UI"/>
          <w:color w:val="171717"/>
          <w:sz w:val="18"/>
          <w:szCs w:val="18"/>
        </w:rPr>
        <w:t xml:space="preserve"> </w:t>
      </w:r>
      <w:proofErr w:type="spellStart"/>
      <w:r w:rsidRPr="005976F9">
        <w:rPr>
          <w:rFonts w:ascii="Quicksand" w:eastAsia="Times New Roman" w:hAnsi="Quicksand" w:cs="Segoe UI"/>
          <w:color w:val="171717"/>
          <w:sz w:val="18"/>
          <w:szCs w:val="18"/>
        </w:rPr>
        <w:t>provider</w:t>
      </w:r>
      <w:proofErr w:type="spellEnd"/>
      <w:r w:rsidRPr="005976F9">
        <w:rPr>
          <w:rFonts w:ascii="Quicksand" w:eastAsia="Times New Roman" w:hAnsi="Quicksand" w:cs="Segoe UI"/>
          <w:color w:val="171717"/>
          <w:sz w:val="18"/>
          <w:szCs w:val="18"/>
        </w:rPr>
        <w:t xml:space="preserve">, dostarczająca operatorom kompletne rozwiązanie zarządzania publicznymi i prywatnymi sieciami stacji ładowania samochodów elektrycznych. Elocity oferuje pomoc w wyborze i zakupie stacji ładowania, wraz z montażem i systemem zarządzania Elocity, a także pełne wsparcie po instalacyjne.  Partnerzy Elocity mogą oferować komercyjne usługi ładowania na swoich stacjach dla kierowców poprzez własną aplikacje oraz aplikacje Elocity, w której jest już dostępnych ponad </w:t>
      </w:r>
      <w:r w:rsidR="00801FE8">
        <w:rPr>
          <w:rFonts w:ascii="Quicksand" w:eastAsia="Times New Roman" w:hAnsi="Quicksand" w:cs="Segoe UI"/>
          <w:color w:val="171717"/>
          <w:sz w:val="18"/>
          <w:szCs w:val="18"/>
        </w:rPr>
        <w:t>200</w:t>
      </w:r>
      <w:r w:rsidRPr="005976F9">
        <w:rPr>
          <w:rFonts w:ascii="Quicksand" w:eastAsia="Times New Roman" w:hAnsi="Quicksand" w:cs="Segoe UI"/>
          <w:color w:val="171717"/>
          <w:sz w:val="18"/>
          <w:szCs w:val="18"/>
        </w:rPr>
        <w:t xml:space="preserve"> stacji ładownia wszystkich partnerów, co zapewnia najwyższy komfort kierowcom przy zachowaniu najlepszych cen.   </w:t>
      </w:r>
    </w:p>
    <w:p w14:paraId="08A9BD5B" w14:textId="77777777" w:rsidR="00774D11" w:rsidRPr="005976F9" w:rsidRDefault="00774D11" w:rsidP="00774D11">
      <w:pPr>
        <w:spacing w:after="0" w:line="240" w:lineRule="auto"/>
        <w:textAlignment w:val="baseline"/>
        <w:rPr>
          <w:rFonts w:ascii="Quicksand" w:eastAsia="Times New Roman" w:hAnsi="Quicksand" w:cs="Segoe UI"/>
          <w:color w:val="171717"/>
          <w:sz w:val="18"/>
          <w:szCs w:val="18"/>
        </w:rPr>
      </w:pPr>
    </w:p>
    <w:p w14:paraId="72D1FBA3" w14:textId="77777777" w:rsidR="00774D11" w:rsidRPr="005976F9" w:rsidRDefault="00774D11" w:rsidP="00774D11">
      <w:pPr>
        <w:spacing w:after="0" w:line="240" w:lineRule="auto"/>
        <w:textAlignment w:val="baseline"/>
        <w:rPr>
          <w:rFonts w:ascii="Segoe UI" w:eastAsia="Times New Roman" w:hAnsi="Segoe UI" w:cs="Segoe UI"/>
          <w:b/>
          <w:bCs/>
          <w:color w:val="1F3763"/>
          <w:sz w:val="18"/>
          <w:szCs w:val="18"/>
        </w:rPr>
      </w:pPr>
      <w:r w:rsidRPr="005976F9">
        <w:rPr>
          <w:rFonts w:ascii="Quicksand" w:eastAsia="Times New Roman" w:hAnsi="Quicksand" w:cs="Segoe UI"/>
          <w:b/>
          <w:bCs/>
          <w:color w:val="171717"/>
          <w:sz w:val="18"/>
          <w:szCs w:val="18"/>
        </w:rPr>
        <w:t>Kontakt dla mediów: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0"/>
        <w:gridCol w:w="4220"/>
      </w:tblGrid>
      <w:tr w:rsidR="00774D11" w:rsidRPr="005976F9" w14:paraId="6D1A0115" w14:textId="77777777" w:rsidTr="00F8038B">
        <w:tc>
          <w:tcPr>
            <w:tcW w:w="4815" w:type="dxa"/>
            <w:tcBorders>
              <w:top w:val="single" w:sz="6" w:space="0" w:color="FFFFFF"/>
              <w:left w:val="single" w:sz="6" w:space="0" w:color="FFFFFF"/>
              <w:bottom w:val="single" w:sz="6" w:space="0" w:color="FFFFFF"/>
              <w:right w:val="single" w:sz="6" w:space="0" w:color="FFFFFF"/>
            </w:tcBorders>
            <w:shd w:val="clear" w:color="auto" w:fill="auto"/>
            <w:hideMark/>
          </w:tcPr>
          <w:p w14:paraId="7CAF832A" w14:textId="72967B20" w:rsidR="00774D11" w:rsidRPr="005976F9" w:rsidRDefault="00774D11" w:rsidP="00F8038B">
            <w:pPr>
              <w:spacing w:after="0" w:line="240" w:lineRule="auto"/>
              <w:textAlignment w:val="baseline"/>
              <w:rPr>
                <w:rFonts w:ascii="Times New Roman" w:eastAsia="Times New Roman" w:hAnsi="Times New Roman" w:cs="Times New Roman"/>
                <w:sz w:val="18"/>
                <w:szCs w:val="18"/>
              </w:rPr>
            </w:pPr>
            <w:r w:rsidRPr="005976F9">
              <w:rPr>
                <w:rFonts w:ascii="Quicksand" w:eastAsia="Times New Roman" w:hAnsi="Quicksand" w:cs="Times New Roman"/>
                <w:color w:val="171717"/>
                <w:sz w:val="18"/>
                <w:szCs w:val="18"/>
              </w:rPr>
              <w:t>Klara Ufnalewska </w:t>
            </w:r>
            <w:r w:rsidRPr="005976F9">
              <w:rPr>
                <w:rFonts w:ascii="Quicksand" w:eastAsia="Times New Roman" w:hAnsi="Quicksand" w:cs="Times New Roman"/>
                <w:color w:val="171717"/>
                <w:sz w:val="18"/>
                <w:szCs w:val="18"/>
              </w:rPr>
              <w:br/>
              <w:t>Tel. 723.991.159 </w:t>
            </w:r>
            <w:r w:rsidRPr="005976F9">
              <w:rPr>
                <w:rFonts w:ascii="Quicksand" w:eastAsia="Times New Roman" w:hAnsi="Quicksand" w:cs="Times New Roman"/>
                <w:color w:val="171717"/>
                <w:sz w:val="18"/>
                <w:szCs w:val="18"/>
              </w:rPr>
              <w:br/>
              <w:t xml:space="preserve">Email: </w:t>
            </w:r>
            <w:proofErr w:type="spellStart"/>
            <w:r w:rsidRPr="005976F9">
              <w:rPr>
                <w:rFonts w:ascii="Quicksand" w:eastAsia="Times New Roman" w:hAnsi="Quicksand" w:cs="Times New Roman"/>
                <w:color w:val="171717"/>
                <w:sz w:val="18"/>
                <w:szCs w:val="18"/>
              </w:rPr>
              <w:t>klara.ufnalewska@elo.city</w:t>
            </w:r>
            <w:proofErr w:type="spellEnd"/>
            <w:r w:rsidRPr="005976F9">
              <w:rPr>
                <w:rFonts w:ascii="Quicksand" w:eastAsia="Times New Roman" w:hAnsi="Quicksand" w:cs="Times New Roman"/>
                <w:color w:val="171717"/>
                <w:sz w:val="18"/>
                <w:szCs w:val="18"/>
              </w:rPr>
              <w:t> </w:t>
            </w:r>
          </w:p>
        </w:tc>
        <w:tc>
          <w:tcPr>
            <w:tcW w:w="4245" w:type="dxa"/>
            <w:tcBorders>
              <w:top w:val="single" w:sz="6" w:space="0" w:color="FFFFFF"/>
              <w:left w:val="single" w:sz="6" w:space="0" w:color="FFFFFF"/>
              <w:bottom w:val="single" w:sz="6" w:space="0" w:color="FFFFFF"/>
              <w:right w:val="single" w:sz="6" w:space="0" w:color="FFFFFF"/>
            </w:tcBorders>
            <w:shd w:val="clear" w:color="auto" w:fill="auto"/>
            <w:hideMark/>
          </w:tcPr>
          <w:p w14:paraId="7447D246" w14:textId="77777777" w:rsidR="00774D11" w:rsidRPr="005976F9" w:rsidRDefault="00774D11" w:rsidP="00F8038B">
            <w:pPr>
              <w:spacing w:after="0" w:line="240" w:lineRule="auto"/>
              <w:textAlignment w:val="baseline"/>
              <w:rPr>
                <w:rFonts w:ascii="Times New Roman" w:eastAsia="Times New Roman" w:hAnsi="Times New Roman" w:cs="Times New Roman"/>
                <w:sz w:val="18"/>
                <w:szCs w:val="18"/>
              </w:rPr>
            </w:pPr>
            <w:r w:rsidRPr="005976F9">
              <w:rPr>
                <w:rFonts w:ascii="Quicksand" w:eastAsia="Times New Roman" w:hAnsi="Quicksand" w:cs="Times New Roman"/>
                <w:color w:val="171717"/>
                <w:sz w:val="18"/>
                <w:szCs w:val="18"/>
              </w:rPr>
              <w:t>Joanna Mazur-Kobylecka </w:t>
            </w:r>
            <w:r w:rsidRPr="005976F9">
              <w:rPr>
                <w:rFonts w:ascii="Quicksand" w:eastAsia="Times New Roman" w:hAnsi="Quicksand" w:cs="Times New Roman"/>
                <w:color w:val="171717"/>
                <w:sz w:val="18"/>
                <w:szCs w:val="18"/>
              </w:rPr>
              <w:br/>
              <w:t>Tel. 600.330.052 </w:t>
            </w:r>
            <w:r w:rsidRPr="005976F9">
              <w:rPr>
                <w:rFonts w:ascii="Quicksand" w:eastAsia="Times New Roman" w:hAnsi="Quicksand" w:cs="Times New Roman"/>
                <w:color w:val="171717"/>
                <w:sz w:val="18"/>
                <w:szCs w:val="18"/>
              </w:rPr>
              <w:br/>
              <w:t xml:space="preserve">Email: </w:t>
            </w:r>
            <w:proofErr w:type="spellStart"/>
            <w:r w:rsidRPr="005976F9">
              <w:rPr>
                <w:rFonts w:ascii="Quicksand" w:eastAsia="Times New Roman" w:hAnsi="Quicksand" w:cs="Times New Roman"/>
                <w:color w:val="171717"/>
                <w:sz w:val="18"/>
                <w:szCs w:val="18"/>
              </w:rPr>
              <w:t>joanna.mazur-kobylecka@elo.city</w:t>
            </w:r>
            <w:proofErr w:type="spellEnd"/>
            <w:r w:rsidRPr="005976F9">
              <w:rPr>
                <w:rFonts w:ascii="Quicksand" w:eastAsia="Times New Roman" w:hAnsi="Quicksand" w:cs="Times New Roman"/>
                <w:color w:val="171717"/>
                <w:sz w:val="18"/>
                <w:szCs w:val="18"/>
              </w:rPr>
              <w:t> </w:t>
            </w:r>
          </w:p>
          <w:p w14:paraId="025AB68D" w14:textId="77777777" w:rsidR="00774D11" w:rsidRPr="005976F9" w:rsidRDefault="00774D11" w:rsidP="00F8038B">
            <w:pPr>
              <w:spacing w:after="0" w:line="240" w:lineRule="auto"/>
              <w:textAlignment w:val="baseline"/>
              <w:rPr>
                <w:rFonts w:ascii="Times New Roman" w:eastAsia="Times New Roman" w:hAnsi="Times New Roman" w:cs="Times New Roman"/>
                <w:sz w:val="18"/>
                <w:szCs w:val="18"/>
              </w:rPr>
            </w:pPr>
            <w:r w:rsidRPr="005976F9">
              <w:rPr>
                <w:rFonts w:ascii="Quicksand" w:eastAsia="Times New Roman" w:hAnsi="Quicksand" w:cs="Times New Roman"/>
                <w:color w:val="171717"/>
                <w:sz w:val="18"/>
                <w:szCs w:val="18"/>
              </w:rPr>
              <w:t> </w:t>
            </w:r>
          </w:p>
        </w:tc>
      </w:tr>
    </w:tbl>
    <w:p w14:paraId="19B6E979" w14:textId="57001694" w:rsidR="00791D16" w:rsidRPr="00997062" w:rsidRDefault="00791D16" w:rsidP="00EC0F12">
      <w:pPr>
        <w:rPr>
          <w:rFonts w:ascii="Quicksand" w:hAnsi="Quicksand"/>
        </w:rPr>
      </w:pPr>
    </w:p>
    <w:sectPr w:rsidR="00791D16" w:rsidRPr="0099706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5CF7" w14:textId="77777777" w:rsidR="00795B8F" w:rsidRDefault="00795B8F" w:rsidP="00AD345C">
      <w:pPr>
        <w:spacing w:after="0" w:line="240" w:lineRule="auto"/>
      </w:pPr>
      <w:r>
        <w:separator/>
      </w:r>
    </w:p>
  </w:endnote>
  <w:endnote w:type="continuationSeparator" w:id="0">
    <w:p w14:paraId="4BCDDD5D" w14:textId="77777777" w:rsidR="00795B8F" w:rsidRDefault="00795B8F" w:rsidP="00AD345C">
      <w:pPr>
        <w:spacing w:after="0" w:line="240" w:lineRule="auto"/>
      </w:pPr>
      <w:r>
        <w:continuationSeparator/>
      </w:r>
    </w:p>
  </w:endnote>
  <w:endnote w:type="continuationNotice" w:id="1">
    <w:p w14:paraId="51A0F460" w14:textId="77777777" w:rsidR="00795B8F" w:rsidRDefault="00795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icksand">
    <w:altName w:val="Calibri"/>
    <w:panose1 w:val="00000500000000000000"/>
    <w:charset w:val="00"/>
    <w:family w:val="auto"/>
    <w:pitch w:val="variable"/>
    <w:sig w:usb0="2000000F" w:usb1="00000001" w:usb2="00000000" w:usb3="00000000" w:csb0="0000019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6AC211" w14:paraId="6E5CEADF" w14:textId="77777777" w:rsidTr="426AC211">
      <w:tc>
        <w:tcPr>
          <w:tcW w:w="3005" w:type="dxa"/>
        </w:tcPr>
        <w:p w14:paraId="4739206D" w14:textId="144C957B" w:rsidR="426AC211" w:rsidRDefault="426AC211" w:rsidP="426AC211">
          <w:pPr>
            <w:pStyle w:val="Nagwek"/>
            <w:ind w:left="-115"/>
          </w:pPr>
        </w:p>
      </w:tc>
      <w:tc>
        <w:tcPr>
          <w:tcW w:w="3005" w:type="dxa"/>
        </w:tcPr>
        <w:p w14:paraId="5CD3BAB6" w14:textId="6BF54849" w:rsidR="426AC211" w:rsidRDefault="426AC211" w:rsidP="426AC211">
          <w:pPr>
            <w:pStyle w:val="Nagwek"/>
            <w:jc w:val="center"/>
          </w:pPr>
        </w:p>
      </w:tc>
      <w:tc>
        <w:tcPr>
          <w:tcW w:w="3005" w:type="dxa"/>
        </w:tcPr>
        <w:p w14:paraId="63AA15D0" w14:textId="7BF26DF0" w:rsidR="426AC211" w:rsidRDefault="426AC211" w:rsidP="426AC211">
          <w:pPr>
            <w:pStyle w:val="Nagwek"/>
            <w:ind w:right="-115"/>
            <w:jc w:val="right"/>
          </w:pPr>
        </w:p>
      </w:tc>
    </w:tr>
  </w:tbl>
  <w:p w14:paraId="3227A62B" w14:textId="75D8D137" w:rsidR="426AC211" w:rsidRDefault="426AC211" w:rsidP="426AC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B6F5" w14:textId="77777777" w:rsidR="00795B8F" w:rsidRDefault="00795B8F" w:rsidP="00AD345C">
      <w:pPr>
        <w:spacing w:after="0" w:line="240" w:lineRule="auto"/>
      </w:pPr>
      <w:r>
        <w:separator/>
      </w:r>
    </w:p>
  </w:footnote>
  <w:footnote w:type="continuationSeparator" w:id="0">
    <w:p w14:paraId="38FDBF49" w14:textId="77777777" w:rsidR="00795B8F" w:rsidRDefault="00795B8F" w:rsidP="00AD345C">
      <w:pPr>
        <w:spacing w:after="0" w:line="240" w:lineRule="auto"/>
      </w:pPr>
      <w:r>
        <w:continuationSeparator/>
      </w:r>
    </w:p>
  </w:footnote>
  <w:footnote w:type="continuationNotice" w:id="1">
    <w:p w14:paraId="12ADE070" w14:textId="77777777" w:rsidR="00795B8F" w:rsidRDefault="00795B8F">
      <w:pPr>
        <w:spacing w:after="0" w:line="240" w:lineRule="auto"/>
      </w:pPr>
    </w:p>
  </w:footnote>
  <w:footnote w:id="2">
    <w:p w14:paraId="46D402F8" w14:textId="5F07C7DA" w:rsidR="00AD345C" w:rsidRPr="00F523F0" w:rsidRDefault="00AD345C">
      <w:pPr>
        <w:pStyle w:val="Tekstprzypisudolnego"/>
        <w:rPr>
          <w:rFonts w:ascii="Quicksand" w:hAnsi="Quicksand"/>
        </w:rPr>
      </w:pPr>
      <w:r w:rsidRPr="00F523F0">
        <w:rPr>
          <w:rStyle w:val="Odwoanieprzypisudolnego"/>
          <w:rFonts w:ascii="Quicksand" w:hAnsi="Quicksand"/>
          <w:sz w:val="16"/>
          <w:szCs w:val="16"/>
        </w:rPr>
        <w:footnoteRef/>
      </w:r>
      <w:r w:rsidRPr="00F523F0">
        <w:rPr>
          <w:rFonts w:ascii="Quicksand" w:hAnsi="Quicksand"/>
          <w:sz w:val="16"/>
          <w:szCs w:val="16"/>
        </w:rPr>
        <w:t xml:space="preserve"> </w:t>
      </w:r>
      <w:r w:rsidR="00D27B8D" w:rsidRPr="00F523F0">
        <w:rPr>
          <w:rFonts w:ascii="Quicksand" w:hAnsi="Quicksand"/>
          <w:sz w:val="16"/>
          <w:szCs w:val="16"/>
        </w:rPr>
        <w:t>Wg</w:t>
      </w:r>
      <w:r w:rsidR="00E6668C">
        <w:rPr>
          <w:rFonts w:ascii="Quicksand" w:hAnsi="Quicksand"/>
          <w:sz w:val="16"/>
          <w:szCs w:val="16"/>
        </w:rPr>
        <w:t>.</w:t>
      </w:r>
      <w:r w:rsidR="00D27B8D" w:rsidRPr="00F523F0">
        <w:rPr>
          <w:rFonts w:ascii="Quicksand" w:hAnsi="Quicksand"/>
          <w:sz w:val="16"/>
          <w:szCs w:val="16"/>
        </w:rPr>
        <w:t xml:space="preserve"> danych Orlen „Hurtowe ceny paliw”</w:t>
      </w:r>
      <w:r w:rsidR="00E6668C">
        <w:rPr>
          <w:rFonts w:ascii="Quicksand" w:hAnsi="Quicksand"/>
          <w:sz w:val="16"/>
          <w:szCs w:val="16"/>
        </w:rPr>
        <w:t>,</w:t>
      </w:r>
      <w:r w:rsidR="00D27B8D" w:rsidRPr="00F523F0">
        <w:rPr>
          <w:rFonts w:ascii="Quicksand" w:hAnsi="Quicksand"/>
          <w:sz w:val="16"/>
          <w:szCs w:val="16"/>
        </w:rPr>
        <w:t xml:space="preserve"> https://www.orlen.pl/pl/dla-biznesu/hurtowe-ceny-paliw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6AC211" w14:paraId="16FB448A" w14:textId="77777777" w:rsidTr="426AC211">
      <w:tc>
        <w:tcPr>
          <w:tcW w:w="3005" w:type="dxa"/>
        </w:tcPr>
        <w:p w14:paraId="2EA4E47F" w14:textId="68D0EA2C" w:rsidR="426AC211" w:rsidRDefault="426AC211" w:rsidP="426AC211">
          <w:pPr>
            <w:pStyle w:val="Nagwek"/>
            <w:ind w:left="-115"/>
          </w:pPr>
        </w:p>
      </w:tc>
      <w:tc>
        <w:tcPr>
          <w:tcW w:w="3005" w:type="dxa"/>
        </w:tcPr>
        <w:p w14:paraId="65D9571A" w14:textId="6C71BCBF" w:rsidR="426AC211" w:rsidRDefault="426AC211" w:rsidP="426AC211">
          <w:pPr>
            <w:pStyle w:val="Nagwek"/>
            <w:jc w:val="center"/>
          </w:pPr>
        </w:p>
      </w:tc>
      <w:tc>
        <w:tcPr>
          <w:tcW w:w="3005" w:type="dxa"/>
        </w:tcPr>
        <w:p w14:paraId="7057C466" w14:textId="605C637F" w:rsidR="426AC211" w:rsidRDefault="426AC211" w:rsidP="426AC211">
          <w:pPr>
            <w:pStyle w:val="Nagwek"/>
            <w:ind w:right="-115"/>
            <w:jc w:val="right"/>
          </w:pPr>
        </w:p>
      </w:tc>
    </w:tr>
  </w:tbl>
  <w:p w14:paraId="5C935B90" w14:textId="31B49BE9" w:rsidR="426AC211" w:rsidRDefault="008D6448" w:rsidP="426AC211">
    <w:pPr>
      <w:pStyle w:val="Nagwek"/>
    </w:pPr>
    <w:r>
      <w:rPr>
        <w:noProof/>
      </w:rPr>
      <w:drawing>
        <wp:anchor distT="0" distB="0" distL="114300" distR="114300" simplePos="0" relativeHeight="251658240" behindDoc="0" locked="0" layoutInCell="1" allowOverlap="1" wp14:anchorId="22625C05" wp14:editId="56D2DA84">
          <wp:simplePos x="0" y="0"/>
          <wp:positionH relativeFrom="margin">
            <wp:posOffset>-553674</wp:posOffset>
          </wp:positionH>
          <wp:positionV relativeFrom="margin">
            <wp:posOffset>-768041</wp:posOffset>
          </wp:positionV>
          <wp:extent cx="1143181" cy="427838"/>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165731" cy="436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CBA"/>
    <w:multiLevelType w:val="hybridMultilevel"/>
    <w:tmpl w:val="CE3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33BBC2"/>
    <w:rsid w:val="00025EE9"/>
    <w:rsid w:val="00034014"/>
    <w:rsid w:val="00046718"/>
    <w:rsid w:val="00052D76"/>
    <w:rsid w:val="00074C1E"/>
    <w:rsid w:val="00076B94"/>
    <w:rsid w:val="0009702B"/>
    <w:rsid w:val="000B6D70"/>
    <w:rsid w:val="000D7440"/>
    <w:rsid w:val="00113EF3"/>
    <w:rsid w:val="001315DB"/>
    <w:rsid w:val="00150E33"/>
    <w:rsid w:val="0017223F"/>
    <w:rsid w:val="00195265"/>
    <w:rsid w:val="001B344C"/>
    <w:rsid w:val="001B3582"/>
    <w:rsid w:val="00214B54"/>
    <w:rsid w:val="002310D3"/>
    <w:rsid w:val="0025483E"/>
    <w:rsid w:val="00261666"/>
    <w:rsid w:val="00271E86"/>
    <w:rsid w:val="00273B22"/>
    <w:rsid w:val="00292512"/>
    <w:rsid w:val="002A5594"/>
    <w:rsid w:val="002C0FFD"/>
    <w:rsid w:val="002D1E91"/>
    <w:rsid w:val="00361056"/>
    <w:rsid w:val="003634CD"/>
    <w:rsid w:val="00385AFA"/>
    <w:rsid w:val="00397141"/>
    <w:rsid w:val="003E0341"/>
    <w:rsid w:val="003E4394"/>
    <w:rsid w:val="003E7EC6"/>
    <w:rsid w:val="00402EDD"/>
    <w:rsid w:val="004270A6"/>
    <w:rsid w:val="004615BA"/>
    <w:rsid w:val="00487C9E"/>
    <w:rsid w:val="00497C00"/>
    <w:rsid w:val="004B43C2"/>
    <w:rsid w:val="004C352B"/>
    <w:rsid w:val="004F112F"/>
    <w:rsid w:val="0052629F"/>
    <w:rsid w:val="00527811"/>
    <w:rsid w:val="005705F6"/>
    <w:rsid w:val="00582E4A"/>
    <w:rsid w:val="005976F9"/>
    <w:rsid w:val="005B6F89"/>
    <w:rsid w:val="00633402"/>
    <w:rsid w:val="006348FB"/>
    <w:rsid w:val="00654AEE"/>
    <w:rsid w:val="00674609"/>
    <w:rsid w:val="00694E2F"/>
    <w:rsid w:val="0069690D"/>
    <w:rsid w:val="006A1F7C"/>
    <w:rsid w:val="006B0F0B"/>
    <w:rsid w:val="006D0C6E"/>
    <w:rsid w:val="006D5C87"/>
    <w:rsid w:val="006E0DB0"/>
    <w:rsid w:val="006F4C1F"/>
    <w:rsid w:val="00704D0F"/>
    <w:rsid w:val="007364E0"/>
    <w:rsid w:val="00774D11"/>
    <w:rsid w:val="00791D16"/>
    <w:rsid w:val="00795B8F"/>
    <w:rsid w:val="007A06F5"/>
    <w:rsid w:val="007A7D61"/>
    <w:rsid w:val="00801FE8"/>
    <w:rsid w:val="008034BA"/>
    <w:rsid w:val="00821E8F"/>
    <w:rsid w:val="00896884"/>
    <w:rsid w:val="008A159E"/>
    <w:rsid w:val="008C2E76"/>
    <w:rsid w:val="008D6448"/>
    <w:rsid w:val="008E75B8"/>
    <w:rsid w:val="00972250"/>
    <w:rsid w:val="009938BC"/>
    <w:rsid w:val="00997062"/>
    <w:rsid w:val="009A13DE"/>
    <w:rsid w:val="009A747F"/>
    <w:rsid w:val="009C00E8"/>
    <w:rsid w:val="00A043EA"/>
    <w:rsid w:val="00A559B1"/>
    <w:rsid w:val="00A76609"/>
    <w:rsid w:val="00A82952"/>
    <w:rsid w:val="00A87344"/>
    <w:rsid w:val="00AD345C"/>
    <w:rsid w:val="00AF32FD"/>
    <w:rsid w:val="00B11F9B"/>
    <w:rsid w:val="00B20457"/>
    <w:rsid w:val="00B37907"/>
    <w:rsid w:val="00B42CE2"/>
    <w:rsid w:val="00B91A7C"/>
    <w:rsid w:val="00BB6816"/>
    <w:rsid w:val="00BC21F4"/>
    <w:rsid w:val="00BE07D3"/>
    <w:rsid w:val="00BE77BB"/>
    <w:rsid w:val="00C04518"/>
    <w:rsid w:val="00C21648"/>
    <w:rsid w:val="00C272AF"/>
    <w:rsid w:val="00C96492"/>
    <w:rsid w:val="00CB19E9"/>
    <w:rsid w:val="00CB752F"/>
    <w:rsid w:val="00D0741E"/>
    <w:rsid w:val="00D27B8D"/>
    <w:rsid w:val="00D300C8"/>
    <w:rsid w:val="00D97CAA"/>
    <w:rsid w:val="00DC4B74"/>
    <w:rsid w:val="00E12FB4"/>
    <w:rsid w:val="00E42E75"/>
    <w:rsid w:val="00E6668C"/>
    <w:rsid w:val="00E9610D"/>
    <w:rsid w:val="00EA62FA"/>
    <w:rsid w:val="00EC0F12"/>
    <w:rsid w:val="00F044B8"/>
    <w:rsid w:val="00F117FC"/>
    <w:rsid w:val="00F31224"/>
    <w:rsid w:val="00F428A8"/>
    <w:rsid w:val="00F523F0"/>
    <w:rsid w:val="00F55D27"/>
    <w:rsid w:val="00F66565"/>
    <w:rsid w:val="00F8038B"/>
    <w:rsid w:val="00F92911"/>
    <w:rsid w:val="00FE0B13"/>
    <w:rsid w:val="00FE255E"/>
    <w:rsid w:val="012C1F97"/>
    <w:rsid w:val="0AC00018"/>
    <w:rsid w:val="1063E304"/>
    <w:rsid w:val="16EB2516"/>
    <w:rsid w:val="1A22C5D8"/>
    <w:rsid w:val="1A76C614"/>
    <w:rsid w:val="1AC4FE02"/>
    <w:rsid w:val="1BC1133C"/>
    <w:rsid w:val="22BF7F55"/>
    <w:rsid w:val="24188EE3"/>
    <w:rsid w:val="29D4A433"/>
    <w:rsid w:val="2A638944"/>
    <w:rsid w:val="402CB789"/>
    <w:rsid w:val="4033BBC2"/>
    <w:rsid w:val="41C887EA"/>
    <w:rsid w:val="426AC211"/>
    <w:rsid w:val="49484411"/>
    <w:rsid w:val="5339F977"/>
    <w:rsid w:val="57778417"/>
    <w:rsid w:val="5D1C2E0A"/>
    <w:rsid w:val="605BEDE1"/>
    <w:rsid w:val="607E1014"/>
    <w:rsid w:val="60AD3211"/>
    <w:rsid w:val="60CC8ED1"/>
    <w:rsid w:val="684DD769"/>
    <w:rsid w:val="6DD14380"/>
    <w:rsid w:val="6FDF5FC9"/>
    <w:rsid w:val="7108E442"/>
    <w:rsid w:val="7F05E04D"/>
    <w:rsid w:val="7F40E85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BBC2"/>
  <w15:chartTrackingRefBased/>
  <w15:docId w15:val="{1B9C611E-83BE-C046-87BF-94B6F2BE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3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45C"/>
    <w:rPr>
      <w:sz w:val="20"/>
      <w:szCs w:val="20"/>
    </w:rPr>
  </w:style>
  <w:style w:type="character" w:styleId="Odwoanieprzypisudolnego">
    <w:name w:val="footnote reference"/>
    <w:basedOn w:val="Domylnaczcionkaakapitu"/>
    <w:uiPriority w:val="99"/>
    <w:semiHidden/>
    <w:unhideWhenUsed/>
    <w:rsid w:val="00AD345C"/>
    <w:rPr>
      <w:vertAlign w:val="superscript"/>
    </w:rPr>
  </w:style>
  <w:style w:type="character" w:styleId="Odwoaniedokomentarza">
    <w:name w:val="annotation reference"/>
    <w:basedOn w:val="Domylnaczcionkaakapitu"/>
    <w:uiPriority w:val="99"/>
    <w:semiHidden/>
    <w:unhideWhenUsed/>
    <w:rsid w:val="009C00E8"/>
    <w:rPr>
      <w:sz w:val="16"/>
      <w:szCs w:val="16"/>
    </w:rPr>
  </w:style>
  <w:style w:type="paragraph" w:styleId="Tekstkomentarza">
    <w:name w:val="annotation text"/>
    <w:basedOn w:val="Normalny"/>
    <w:link w:val="TekstkomentarzaZnak"/>
    <w:uiPriority w:val="99"/>
    <w:semiHidden/>
    <w:unhideWhenUsed/>
    <w:rsid w:val="009C00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00E8"/>
    <w:rPr>
      <w:sz w:val="20"/>
      <w:szCs w:val="20"/>
    </w:rPr>
  </w:style>
  <w:style w:type="paragraph" w:styleId="Tematkomentarza">
    <w:name w:val="annotation subject"/>
    <w:basedOn w:val="Tekstkomentarza"/>
    <w:next w:val="Tekstkomentarza"/>
    <w:link w:val="TematkomentarzaZnak"/>
    <w:uiPriority w:val="99"/>
    <w:semiHidden/>
    <w:unhideWhenUsed/>
    <w:rsid w:val="009C00E8"/>
    <w:rPr>
      <w:b/>
      <w:bCs/>
    </w:rPr>
  </w:style>
  <w:style w:type="character" w:customStyle="1" w:styleId="TematkomentarzaZnak">
    <w:name w:val="Temat komentarza Znak"/>
    <w:basedOn w:val="TekstkomentarzaZnak"/>
    <w:link w:val="Tematkomentarza"/>
    <w:uiPriority w:val="99"/>
    <w:semiHidden/>
    <w:rsid w:val="009C00E8"/>
    <w:rPr>
      <w:b/>
      <w:bCs/>
      <w:sz w:val="20"/>
      <w:szCs w:val="20"/>
    </w:rPr>
  </w:style>
  <w:style w:type="paragraph" w:styleId="Nagwek">
    <w:name w:val="header"/>
    <w:basedOn w:val="Normalny"/>
    <w:link w:val="NagwekZnak"/>
    <w:uiPriority w:val="99"/>
    <w:unhideWhenUsed/>
    <w:rsid w:val="006E0D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DB0"/>
  </w:style>
  <w:style w:type="paragraph" w:styleId="Stopka">
    <w:name w:val="footer"/>
    <w:basedOn w:val="Normalny"/>
    <w:link w:val="StopkaZnak"/>
    <w:uiPriority w:val="99"/>
    <w:unhideWhenUsed/>
    <w:rsid w:val="006E0D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DB0"/>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61666"/>
    <w:pPr>
      <w:spacing w:after="0" w:line="240" w:lineRule="auto"/>
    </w:pPr>
  </w:style>
  <w:style w:type="paragraph" w:styleId="Akapitzlist">
    <w:name w:val="List Paragraph"/>
    <w:basedOn w:val="Normalny"/>
    <w:uiPriority w:val="34"/>
    <w:qFormat/>
    <w:rsid w:val="005976F9"/>
    <w:pPr>
      <w:ind w:left="720"/>
      <w:contextualSpacing/>
    </w:pPr>
  </w:style>
  <w:style w:type="character" w:styleId="Hipercze">
    <w:name w:val="Hyperlink"/>
    <w:basedOn w:val="Domylnaczcionkaakapitu"/>
    <w:uiPriority w:val="99"/>
    <w:unhideWhenUsed/>
    <w:rsid w:val="00402EDD"/>
    <w:rPr>
      <w:color w:val="0563C1" w:themeColor="hyperlink"/>
      <w:u w:val="single"/>
    </w:rPr>
  </w:style>
  <w:style w:type="character" w:styleId="Nierozpoznanawzmianka">
    <w:name w:val="Unresolved Mention"/>
    <w:basedOn w:val="Domylnaczcionkaakapitu"/>
    <w:uiPriority w:val="99"/>
    <w:semiHidden/>
    <w:unhideWhenUsed/>
    <w:rsid w:val="0040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o.c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30A446E5E55544AEE5458ED4BBB64B" ma:contentTypeVersion="11" ma:contentTypeDescription="Utwórz nowy dokument." ma:contentTypeScope="" ma:versionID="c7f23170d4569ec3083419294c132f6a">
  <xsd:schema xmlns:xsd="http://www.w3.org/2001/XMLSchema" xmlns:xs="http://www.w3.org/2001/XMLSchema" xmlns:p="http://schemas.microsoft.com/office/2006/metadata/properties" xmlns:ns2="1bb771dd-f74b-467b-b21c-969f6aa40cc8" xmlns:ns3="7cfb03df-7521-46bd-9344-e313e1a6e079" targetNamespace="http://schemas.microsoft.com/office/2006/metadata/properties" ma:root="true" ma:fieldsID="9308ea0056ed08410b87d880c5b89f71" ns2:_="" ns3:_="">
    <xsd:import namespace="1bb771dd-f74b-467b-b21c-969f6aa40cc8"/>
    <xsd:import namespace="7cfb03df-7521-46bd-9344-e313e1a6e0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771dd-f74b-467b-b21c-969f6aa4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b03df-7521-46bd-9344-e313e1a6e07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7E7EF-02BF-42FB-A836-2BD744E3E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C5490-673B-4A55-8C30-987B5BA90111}">
  <ds:schemaRefs>
    <ds:schemaRef ds:uri="http://schemas.microsoft.com/sharepoint/v3/contenttype/forms"/>
  </ds:schemaRefs>
</ds:datastoreItem>
</file>

<file path=customXml/itemProps3.xml><?xml version="1.0" encoding="utf-8"?>
<ds:datastoreItem xmlns:ds="http://schemas.openxmlformats.org/officeDocument/2006/customXml" ds:itemID="{12644FB7-3D55-4432-AF35-9E01B5ED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771dd-f74b-467b-b21c-969f6aa40cc8"/>
    <ds:schemaRef ds:uri="7cfb03df-7521-46bd-9344-e313e1a6e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Mazur-Kobylecka</dc:creator>
  <cp:keywords/>
  <dc:description/>
  <cp:lastModifiedBy>Joanna Mazur</cp:lastModifiedBy>
  <cp:revision>3</cp:revision>
  <dcterms:created xsi:type="dcterms:W3CDTF">2022-02-05T14:20:00Z</dcterms:created>
  <dcterms:modified xsi:type="dcterms:W3CDTF">2022-02-05T14:20:00Z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0x010100C330A446E5E55544AEE5458ED4BBB64B</vt:lpwstr>
  </property>
</Properties>
</file>